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490462D9"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B41013">
        <w:rPr>
          <w:rFonts w:ascii="Tahoma" w:hAnsi="Tahoma" w:cs="Tahoma"/>
          <w:b/>
        </w:rPr>
        <w:t>4</w:t>
      </w:r>
      <w:r w:rsidRPr="00035BEE">
        <w:rPr>
          <w:rFonts w:ascii="Tahoma" w:hAnsi="Tahoma" w:cs="Tahoma"/>
          <w:b/>
        </w:rPr>
        <w:t xml:space="preserve">/2025 </w:t>
      </w:r>
      <w:bookmarkStart w:id="1" w:name="_Hlk199760006"/>
      <w:bookmarkStart w:id="2" w:name="_Hlk192600340"/>
      <w:r w:rsidRPr="00035BEE">
        <w:rPr>
          <w:rFonts w:ascii="Tahoma" w:eastAsia="Calibri" w:hAnsi="Tahoma" w:cs="Tahoma"/>
          <w:b/>
          <w:lang w:val="es-ES" w:eastAsia="en-US"/>
        </w:rPr>
        <w:t xml:space="preserve">“ADQUISICIÓN </w:t>
      </w:r>
      <w:r w:rsidR="00C34684" w:rsidRPr="00035BEE">
        <w:rPr>
          <w:rFonts w:ascii="Tahoma" w:eastAsia="Calibri" w:hAnsi="Tahoma" w:cs="Tahoma"/>
          <w:b/>
          <w:lang w:val="es-ES" w:eastAsia="en-US"/>
        </w:rPr>
        <w:t>DE</w:t>
      </w:r>
      <w:r w:rsidR="00D7404C">
        <w:rPr>
          <w:rFonts w:ascii="Tahoma" w:eastAsia="Calibri" w:hAnsi="Tahoma" w:cs="Tahoma"/>
          <w:b/>
          <w:lang w:val="es-ES" w:eastAsia="en-US"/>
        </w:rPr>
        <w:t xml:space="preserve"> EQUIPO DE AUDIO </w:t>
      </w:r>
      <w:r w:rsidR="00C34684">
        <w:rPr>
          <w:rFonts w:ascii="Tahoma" w:eastAsia="Calibri" w:hAnsi="Tahoma" w:cs="Tahoma"/>
          <w:b/>
          <w:lang w:val="es-ES" w:eastAsia="en-US"/>
        </w:rPr>
        <w:t>PARA</w:t>
      </w:r>
      <w:r w:rsidRPr="00035BEE">
        <w:rPr>
          <w:rFonts w:ascii="Tahoma" w:eastAsia="Calibri" w:hAnsi="Tahoma" w:cs="Tahoma"/>
          <w:b/>
          <w:lang w:val="es-ES" w:eastAsia="en-US"/>
        </w:rPr>
        <w:t xml:space="preserve"> EL CONSEJO MUNICIPAL DEL DEPORTE (COMUDE) DE TLAJOMULCO DE ZÚÑIGA, JALISCO</w:t>
      </w:r>
      <w:bookmarkEnd w:id="1"/>
      <w:r w:rsidRPr="00035BEE">
        <w:rPr>
          <w:rFonts w:ascii="Tahoma" w:eastAsia="Calibri" w:hAnsi="Tahoma" w:cs="Tahoma"/>
          <w:b/>
          <w:lang w:val="es-ES" w:eastAsia="en-US"/>
        </w:rPr>
        <w:t>.</w:t>
      </w:r>
      <w:bookmarkEnd w:id="2"/>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0DA597F0"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53516B">
              <w:rPr>
                <w:rFonts w:ascii="Arial" w:eastAsia="Calibri" w:hAnsi="Arial" w:cs="Arial"/>
                <w:b/>
                <w:lang w:eastAsia="es-ES"/>
              </w:rPr>
              <w:t xml:space="preserve">a varios proveedores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29217FE3" w:rsidR="00D854C8" w:rsidRPr="00522C2D" w:rsidRDefault="00D7404C" w:rsidP="00D349F9">
            <w:pPr>
              <w:jc w:val="both"/>
              <w:rPr>
                <w:rFonts w:ascii="Arial" w:eastAsia="Calibri" w:hAnsi="Arial" w:cs="Arial"/>
                <w:lang w:eastAsia="es-ES"/>
              </w:rPr>
            </w:pPr>
            <w:r>
              <w:rPr>
                <w:rFonts w:ascii="Arial" w:eastAsia="Calibri" w:hAnsi="Arial" w:cs="Arial"/>
                <w:lang w:eastAsia="es-ES"/>
              </w:rPr>
              <w:t>5211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E33DF8">
        <w:trPr>
          <w:trHeight w:val="181"/>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6729BB97"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E12B40">
              <w:rPr>
                <w:rFonts w:ascii="Arial" w:eastAsia="Calibri" w:hAnsi="Arial" w:cs="Arial"/>
                <w:color w:val="000000"/>
              </w:rPr>
              <w:t>2</w:t>
            </w:r>
            <w:r w:rsidR="00B41013">
              <w:rPr>
                <w:rFonts w:ascii="Arial" w:eastAsia="Calibri" w:hAnsi="Arial" w:cs="Arial"/>
                <w:color w:val="000000"/>
              </w:rPr>
              <w:t>7</w:t>
            </w:r>
            <w:r w:rsidR="00D7404C">
              <w:rPr>
                <w:rFonts w:ascii="Arial" w:eastAsia="Calibri" w:hAnsi="Arial" w:cs="Arial"/>
                <w:color w:val="000000"/>
              </w:rPr>
              <w:t xml:space="preserve"> </w:t>
            </w:r>
            <w:r>
              <w:rPr>
                <w:rFonts w:ascii="Arial" w:eastAsia="Calibri" w:hAnsi="Arial" w:cs="Arial"/>
                <w:color w:val="000000"/>
              </w:rPr>
              <w:t>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14324734" w:rsidR="007B5BC1" w:rsidRPr="00522C2D" w:rsidRDefault="00E12B40" w:rsidP="007B5BC1">
            <w:pPr>
              <w:spacing w:after="200"/>
              <w:jc w:val="both"/>
              <w:rPr>
                <w:rFonts w:ascii="Arial" w:eastAsia="Calibri" w:hAnsi="Arial" w:cs="Arial"/>
                <w:color w:val="000000"/>
              </w:rPr>
            </w:pPr>
            <w:r>
              <w:rPr>
                <w:rFonts w:ascii="Arial" w:eastAsia="Calibri" w:hAnsi="Arial" w:cs="Arial"/>
                <w:color w:val="000000"/>
              </w:rPr>
              <w:t>0</w:t>
            </w:r>
            <w:r w:rsidR="00B41013">
              <w:rPr>
                <w:rFonts w:ascii="Arial" w:eastAsia="Calibri" w:hAnsi="Arial" w:cs="Arial"/>
                <w:color w:val="000000"/>
              </w:rPr>
              <w:t>7</w:t>
            </w:r>
            <w:r>
              <w:rPr>
                <w:rFonts w:ascii="Arial" w:eastAsia="Calibri" w:hAnsi="Arial" w:cs="Arial"/>
                <w:color w:val="000000"/>
              </w:rPr>
              <w:t xml:space="preserve"> de</w:t>
            </w:r>
            <w:r w:rsidR="007B5BC1">
              <w:rPr>
                <w:rFonts w:ascii="Arial" w:eastAsia="Calibri" w:hAnsi="Arial" w:cs="Arial"/>
                <w:color w:val="000000"/>
              </w:rPr>
              <w:t xml:space="preserve"> </w:t>
            </w:r>
            <w:r w:rsidR="00C34684">
              <w:rPr>
                <w:rFonts w:ascii="Arial" w:eastAsia="Calibri" w:hAnsi="Arial" w:cs="Arial"/>
                <w:color w:val="000000"/>
              </w:rPr>
              <w:t>ju</w:t>
            </w:r>
            <w:r>
              <w:rPr>
                <w:rFonts w:ascii="Arial" w:eastAsia="Calibri" w:hAnsi="Arial" w:cs="Arial"/>
                <w:color w:val="000000"/>
              </w:rPr>
              <w:t>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6F5C0A5C" w:rsidR="007B5BC1" w:rsidRPr="00522C2D" w:rsidRDefault="00E12B40" w:rsidP="007B5BC1">
            <w:pPr>
              <w:spacing w:after="200"/>
              <w:jc w:val="both"/>
              <w:rPr>
                <w:rFonts w:ascii="Arial" w:eastAsia="Calibri" w:hAnsi="Arial" w:cs="Arial"/>
                <w:color w:val="000000"/>
              </w:rPr>
            </w:pPr>
            <w:r>
              <w:rPr>
                <w:rFonts w:ascii="Arial" w:eastAsia="Calibri" w:hAnsi="Arial" w:cs="Arial"/>
                <w:color w:val="000000"/>
              </w:rPr>
              <w:t>0</w:t>
            </w:r>
            <w:r w:rsidR="00B41013">
              <w:rPr>
                <w:rFonts w:ascii="Arial" w:eastAsia="Calibri" w:hAnsi="Arial" w:cs="Arial"/>
                <w:color w:val="000000"/>
              </w:rPr>
              <w:t>7</w:t>
            </w:r>
            <w:r>
              <w:rPr>
                <w:rFonts w:ascii="Arial" w:eastAsia="Calibri" w:hAnsi="Arial" w:cs="Arial"/>
                <w:color w:val="000000"/>
              </w:rPr>
              <w:t xml:space="preserve"> </w:t>
            </w:r>
            <w:r w:rsidR="007B5BC1">
              <w:rPr>
                <w:rFonts w:ascii="Arial" w:eastAsia="Calibri" w:hAnsi="Arial" w:cs="Arial"/>
                <w:color w:val="000000"/>
              </w:rPr>
              <w:t xml:space="preserve">de </w:t>
            </w:r>
            <w:r w:rsidR="00C34684">
              <w:rPr>
                <w:rFonts w:ascii="Arial" w:eastAsia="Calibri" w:hAnsi="Arial" w:cs="Arial"/>
                <w:color w:val="000000"/>
              </w:rPr>
              <w:t>ju</w:t>
            </w:r>
            <w:r>
              <w:rPr>
                <w:rFonts w:ascii="Arial" w:eastAsia="Calibri" w:hAnsi="Arial" w:cs="Arial"/>
                <w:color w:val="000000"/>
              </w:rPr>
              <w:t>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01EC3F2D" w:rsidR="007B5BC1" w:rsidRPr="00522C2D" w:rsidRDefault="00641FCF" w:rsidP="007B5BC1">
            <w:pPr>
              <w:rPr>
                <w:rFonts w:ascii="Arial" w:eastAsia="Calibri" w:hAnsi="Arial" w:cs="Arial"/>
              </w:rPr>
            </w:pPr>
            <w:r w:rsidRPr="00B6009F">
              <w:rPr>
                <w:rFonts w:ascii="Arial" w:eastAsia="Times New Roman" w:hAnsi="Arial" w:cs="Arial"/>
              </w:rPr>
              <w:t xml:space="preserve">calle Vallarta #59, poniente, colonia centro, en Tlajomulco de Zúñiga, </w:t>
            </w:r>
            <w:proofErr w:type="spellStart"/>
            <w:r w:rsidRPr="00B6009F">
              <w:rPr>
                <w:rFonts w:ascii="Arial" w:eastAsia="Times New Roman" w:hAnsi="Arial" w:cs="Arial"/>
              </w:rPr>
              <w:t>Jalisco</w:t>
            </w:r>
            <w:r>
              <w:rPr>
                <w:rFonts w:ascii="Arial" w:eastAsia="Times New Roman" w:hAnsi="Arial" w:cs="Arial"/>
              </w:rPr>
              <w:t>p</w:t>
            </w:r>
            <w:proofErr w:type="spellEnd"/>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pPr w:leftFromText="141" w:rightFromText="141" w:vertAnchor="text" w:tblpXSpec="center" w:tblpY="1"/>
        <w:tblOverlap w:val="never"/>
        <w:tblW w:w="9497" w:type="dxa"/>
        <w:shd w:val="clear" w:color="auto" w:fill="FFFFFF" w:themeFill="background1"/>
        <w:tblCellMar>
          <w:left w:w="70" w:type="dxa"/>
          <w:right w:w="70" w:type="dxa"/>
        </w:tblCellMar>
        <w:tblLook w:val="04A0" w:firstRow="1" w:lastRow="0" w:firstColumn="1" w:lastColumn="0" w:noHBand="0" w:noVBand="1"/>
      </w:tblPr>
      <w:tblGrid>
        <w:gridCol w:w="1063"/>
        <w:gridCol w:w="1265"/>
        <w:gridCol w:w="1200"/>
        <w:gridCol w:w="5969"/>
      </w:tblGrid>
      <w:tr w:rsidR="00D7404C" w:rsidRPr="00C77529" w14:paraId="0521E676" w14:textId="77777777" w:rsidTr="00CF7688">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9DD27E4" w14:textId="77777777" w:rsidR="00D7404C" w:rsidRPr="000D6114" w:rsidRDefault="00D7404C" w:rsidP="00CF7688">
            <w:pPr>
              <w:spacing w:after="0"/>
              <w:jc w:val="center"/>
              <w:rPr>
                <w:rFonts w:asciiTheme="majorHAnsi" w:hAnsiTheme="majorHAnsi" w:cstheme="majorHAnsi"/>
              </w:rPr>
            </w:pPr>
            <w:r w:rsidRPr="000D6114">
              <w:rPr>
                <w:rFonts w:asciiTheme="majorHAnsi" w:hAnsiTheme="majorHAnsi" w:cstheme="majorHAnsi"/>
              </w:rPr>
              <w:lastRenderedPageBreak/>
              <w:t>PARTIDA</w:t>
            </w:r>
          </w:p>
        </w:tc>
        <w:tc>
          <w:tcPr>
            <w:tcW w:w="1265" w:type="dxa"/>
            <w:tcBorders>
              <w:top w:val="single" w:sz="4" w:space="0" w:color="auto"/>
              <w:left w:val="nil"/>
              <w:bottom w:val="single" w:sz="4" w:space="0" w:color="auto"/>
              <w:right w:val="single" w:sz="4" w:space="0" w:color="auto"/>
            </w:tcBorders>
            <w:shd w:val="clear" w:color="auto" w:fill="000000" w:themeFill="text1"/>
            <w:vAlign w:val="center"/>
            <w:hideMark/>
          </w:tcPr>
          <w:p w14:paraId="14504314" w14:textId="77777777" w:rsidR="00D7404C" w:rsidRPr="000D6114" w:rsidRDefault="00D7404C" w:rsidP="00CF7688">
            <w:pPr>
              <w:spacing w:after="0"/>
              <w:jc w:val="center"/>
              <w:rPr>
                <w:rFonts w:asciiTheme="majorHAnsi" w:hAnsiTheme="majorHAnsi" w:cstheme="majorHAnsi"/>
              </w:rPr>
            </w:pPr>
            <w:r w:rsidRPr="000D6114">
              <w:rPr>
                <w:rFonts w:asciiTheme="majorHAnsi" w:hAnsiTheme="majorHAnsi" w:cstheme="majorHAnsi"/>
              </w:rPr>
              <w:t>CANTIDAD</w:t>
            </w:r>
          </w:p>
        </w:tc>
        <w:tc>
          <w:tcPr>
            <w:tcW w:w="1200" w:type="dxa"/>
            <w:tcBorders>
              <w:top w:val="single" w:sz="4" w:space="0" w:color="auto"/>
              <w:left w:val="nil"/>
              <w:bottom w:val="single" w:sz="4" w:space="0" w:color="auto"/>
              <w:right w:val="single" w:sz="4" w:space="0" w:color="auto"/>
            </w:tcBorders>
            <w:shd w:val="clear" w:color="auto" w:fill="000000" w:themeFill="text1"/>
            <w:vAlign w:val="center"/>
            <w:hideMark/>
          </w:tcPr>
          <w:p w14:paraId="662A034C" w14:textId="77777777" w:rsidR="00D7404C" w:rsidRPr="000D6114" w:rsidRDefault="00D7404C" w:rsidP="00CF7688">
            <w:pPr>
              <w:spacing w:after="0"/>
              <w:jc w:val="center"/>
              <w:rPr>
                <w:rFonts w:asciiTheme="majorHAnsi" w:hAnsiTheme="majorHAnsi" w:cstheme="majorHAnsi"/>
              </w:rPr>
            </w:pPr>
            <w:r w:rsidRPr="000D6114">
              <w:rPr>
                <w:rFonts w:asciiTheme="majorHAnsi" w:hAnsiTheme="majorHAnsi" w:cstheme="majorHAnsi"/>
              </w:rPr>
              <w:t>UM</w:t>
            </w:r>
          </w:p>
        </w:tc>
        <w:tc>
          <w:tcPr>
            <w:tcW w:w="5969" w:type="dxa"/>
            <w:tcBorders>
              <w:top w:val="single" w:sz="4" w:space="0" w:color="auto"/>
              <w:left w:val="nil"/>
              <w:bottom w:val="single" w:sz="4" w:space="0" w:color="auto"/>
              <w:right w:val="nil"/>
            </w:tcBorders>
            <w:shd w:val="clear" w:color="auto" w:fill="000000" w:themeFill="text1"/>
            <w:hideMark/>
          </w:tcPr>
          <w:p w14:paraId="74CD5AD0" w14:textId="77777777" w:rsidR="00D7404C" w:rsidRPr="000D6114" w:rsidRDefault="00D7404C" w:rsidP="00CF7688">
            <w:pPr>
              <w:spacing w:after="0"/>
              <w:jc w:val="center"/>
              <w:rPr>
                <w:rFonts w:asciiTheme="majorHAnsi" w:hAnsiTheme="majorHAnsi" w:cstheme="majorHAnsi"/>
              </w:rPr>
            </w:pPr>
            <w:r w:rsidRPr="000D6114">
              <w:rPr>
                <w:rFonts w:asciiTheme="majorHAnsi" w:hAnsiTheme="majorHAnsi" w:cstheme="majorHAnsi"/>
              </w:rPr>
              <w:t>DESCRIPCIÓN</w:t>
            </w:r>
          </w:p>
        </w:tc>
      </w:tr>
      <w:tr w:rsidR="00D7404C" w:rsidRPr="00C77529" w14:paraId="4C73EE58"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0092EAF4" w14:textId="77777777" w:rsidR="00D7404C" w:rsidRPr="00A3654A" w:rsidRDefault="00D7404C" w:rsidP="00CF7688">
            <w:pPr>
              <w:spacing w:after="0"/>
              <w:jc w:val="center"/>
              <w:rPr>
                <w:rFonts w:asciiTheme="majorHAnsi" w:hAnsiTheme="majorHAnsi" w:cstheme="majorHAnsi"/>
                <w:b/>
                <w:bCs/>
              </w:rPr>
            </w:pPr>
            <w:r w:rsidRPr="00A3654A">
              <w:rPr>
                <w:rFonts w:asciiTheme="majorHAnsi" w:eastAsia="Times New Roman" w:hAnsiTheme="majorHAnsi" w:cstheme="majorHAnsi"/>
                <w:b/>
                <w:bCs/>
                <w:color w:val="000000"/>
              </w:rPr>
              <w:t>1</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1F4C3AF4" w14:textId="77777777" w:rsidR="00D7404C" w:rsidRPr="000D6114" w:rsidRDefault="00D7404C" w:rsidP="00CF7688">
            <w:pPr>
              <w:spacing w:after="0"/>
              <w:jc w:val="center"/>
              <w:rPr>
                <w:rFonts w:asciiTheme="majorHAnsi" w:hAnsiTheme="majorHAnsi" w:cstheme="majorHAnsi"/>
              </w:rPr>
            </w:pPr>
            <w:r w:rsidRPr="000D6114">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4A7E71D7" w14:textId="77777777" w:rsidR="00D7404C" w:rsidRPr="000D6114" w:rsidRDefault="00D7404C" w:rsidP="00CF7688">
            <w:pPr>
              <w:pStyle w:val="Sinespaciado"/>
              <w:rPr>
                <w:rFonts w:asciiTheme="majorHAnsi" w:hAnsiTheme="majorHAnsi" w:cstheme="majorHAnsi"/>
                <w:b/>
                <w:bCs/>
              </w:rPr>
            </w:pPr>
          </w:p>
          <w:p w14:paraId="6FE22A38" w14:textId="77777777" w:rsidR="00D7404C" w:rsidRPr="000D6114" w:rsidRDefault="00D7404C" w:rsidP="00CF7688">
            <w:pPr>
              <w:spacing w:after="0"/>
              <w:jc w:val="center"/>
              <w:rPr>
                <w:rFonts w:asciiTheme="majorHAnsi" w:hAnsiTheme="majorHAnsi" w:cstheme="majorHAnsi"/>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527A9816" w14:textId="77777777" w:rsidR="00D7404C" w:rsidRDefault="00D7404C" w:rsidP="00CF7688">
            <w:pPr>
              <w:spacing w:after="0"/>
              <w:jc w:val="both"/>
              <w:rPr>
                <w:rFonts w:asciiTheme="majorHAnsi" w:hAnsiTheme="majorHAnsi" w:cstheme="majorHAnsi"/>
              </w:rPr>
            </w:pPr>
            <w:r w:rsidRPr="00002F15">
              <w:rPr>
                <w:rFonts w:asciiTheme="majorHAnsi" w:hAnsiTheme="majorHAnsi" w:cstheme="majorHAnsi"/>
                <w:b/>
                <w:bCs/>
              </w:rPr>
              <w:t>BOCINAS</w:t>
            </w:r>
            <w:r>
              <w:rPr>
                <w:rFonts w:asciiTheme="majorHAnsi" w:hAnsiTheme="majorHAnsi" w:cstheme="majorHAnsi"/>
              </w:rPr>
              <w:t xml:space="preserve"> </w:t>
            </w:r>
            <w:r w:rsidRPr="00D05F96">
              <w:rPr>
                <w:rFonts w:asciiTheme="majorHAnsi" w:hAnsiTheme="majorHAnsi" w:cstheme="majorHAnsi"/>
              </w:rPr>
              <w:t>Altavoz con Bluetooth, 15"</w:t>
            </w:r>
          </w:p>
          <w:p w14:paraId="442953A4" w14:textId="77777777" w:rsidR="00D7404C" w:rsidRPr="00002F15" w:rsidRDefault="00D7404C" w:rsidP="00CF7688">
            <w:pPr>
              <w:spacing w:after="0"/>
              <w:jc w:val="both"/>
              <w:rPr>
                <w:rFonts w:asciiTheme="majorHAnsi" w:hAnsiTheme="majorHAnsi" w:cstheme="majorHAnsi"/>
                <w:b/>
                <w:bCs/>
              </w:rPr>
            </w:pPr>
            <w:r>
              <w:rPr>
                <w:rFonts w:asciiTheme="majorHAnsi" w:hAnsiTheme="majorHAnsi" w:cstheme="majorHAnsi"/>
              </w:rPr>
              <w:t xml:space="preserve">Con las siguientes </w:t>
            </w:r>
            <w:r w:rsidRPr="00002F15">
              <w:rPr>
                <w:rFonts w:asciiTheme="majorHAnsi" w:hAnsiTheme="majorHAnsi" w:cstheme="majorHAnsi"/>
              </w:rPr>
              <w:t>Características mínimas</w:t>
            </w:r>
          </w:p>
          <w:p w14:paraId="007A97A5"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Potencia nominal (W, continua)650</w:t>
            </w:r>
          </w:p>
          <w:p w14:paraId="7A1838FB"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Potencia nominal (W, pico)1300</w:t>
            </w:r>
          </w:p>
          <w:p w14:paraId="0E4EDD30"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Respuesta de frecuencia Hz (±3 dB)55 - 20,000</w:t>
            </w:r>
          </w:p>
          <w:p w14:paraId="02883DF4"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SPL máximo (dB pico)128</w:t>
            </w:r>
          </w:p>
          <w:p w14:paraId="3FBD6001" w14:textId="77777777" w:rsidR="00D7404C" w:rsidRDefault="00D7404C" w:rsidP="00CF7688">
            <w:pPr>
              <w:spacing w:after="0"/>
              <w:jc w:val="both"/>
              <w:rPr>
                <w:rFonts w:asciiTheme="majorHAnsi" w:hAnsiTheme="majorHAnsi" w:cstheme="majorHAnsi"/>
              </w:rPr>
            </w:pPr>
            <w:r w:rsidRPr="00002F15">
              <w:rPr>
                <w:rFonts w:asciiTheme="majorHAnsi" w:hAnsiTheme="majorHAnsi" w:cstheme="majorHAnsi"/>
              </w:rPr>
              <w:t>Patrón de cobertura (nominal)90° x 60°</w:t>
            </w:r>
          </w:p>
          <w:p w14:paraId="5F18E034"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 xml:space="preserve">Mobile app </w:t>
            </w:r>
            <w:proofErr w:type="spellStart"/>
            <w:r w:rsidRPr="00002F15">
              <w:rPr>
                <w:rFonts w:asciiTheme="majorHAnsi" w:hAnsiTheme="majorHAnsi" w:cstheme="majorHAnsi"/>
              </w:rPr>
              <w:t>available</w:t>
            </w:r>
            <w:proofErr w:type="spellEnd"/>
            <w:r w:rsidRPr="00002F15">
              <w:rPr>
                <w:rFonts w:asciiTheme="majorHAnsi" w:hAnsiTheme="majorHAnsi" w:cstheme="majorHAnsi"/>
              </w:rPr>
              <w:t xml:space="preserve"> </w:t>
            </w:r>
            <w:proofErr w:type="spellStart"/>
            <w:r w:rsidRPr="00002F15">
              <w:rPr>
                <w:rFonts w:asciiTheme="majorHAnsi" w:hAnsiTheme="majorHAnsi" w:cstheme="majorHAnsi"/>
              </w:rPr>
              <w:t>for</w:t>
            </w:r>
            <w:proofErr w:type="spellEnd"/>
            <w:r w:rsidRPr="00002F15">
              <w:rPr>
                <w:rFonts w:asciiTheme="majorHAnsi" w:hAnsiTheme="majorHAnsi" w:cstheme="majorHAnsi"/>
              </w:rPr>
              <w:t xml:space="preserve"> iOS and Android</w:t>
            </w:r>
          </w:p>
          <w:p w14:paraId="585E1390"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Toma montada sobre poste de un ángulo</w:t>
            </w:r>
          </w:p>
          <w:p w14:paraId="2C217200"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 xml:space="preserve">M10 </w:t>
            </w:r>
            <w:proofErr w:type="spellStart"/>
            <w:r w:rsidRPr="00002F15">
              <w:rPr>
                <w:rFonts w:asciiTheme="majorHAnsi" w:hAnsiTheme="majorHAnsi" w:cstheme="majorHAnsi"/>
              </w:rPr>
              <w:t>suspension</w:t>
            </w:r>
            <w:proofErr w:type="spellEnd"/>
            <w:r w:rsidRPr="00002F15">
              <w:rPr>
                <w:rFonts w:asciiTheme="majorHAnsi" w:hAnsiTheme="majorHAnsi" w:cstheme="majorHAnsi"/>
              </w:rPr>
              <w:t xml:space="preserve"> </w:t>
            </w:r>
            <w:proofErr w:type="spellStart"/>
            <w:r w:rsidRPr="00002F15">
              <w:rPr>
                <w:rFonts w:asciiTheme="majorHAnsi" w:hAnsiTheme="majorHAnsi" w:cstheme="majorHAnsi"/>
              </w:rPr>
              <w:t>points</w:t>
            </w:r>
            <w:proofErr w:type="spellEnd"/>
          </w:p>
          <w:p w14:paraId="1A1F390D"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 xml:space="preserve">Supresión de </w:t>
            </w:r>
            <w:proofErr w:type="spellStart"/>
            <w:r w:rsidRPr="00002F15">
              <w:rPr>
                <w:rFonts w:asciiTheme="majorHAnsi" w:hAnsiTheme="majorHAnsi" w:cstheme="majorHAnsi"/>
              </w:rPr>
              <w:t>feedback</w:t>
            </w:r>
            <w:proofErr w:type="spellEnd"/>
          </w:p>
          <w:p w14:paraId="3ADC7367"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Atenuación (</w:t>
            </w:r>
            <w:proofErr w:type="spellStart"/>
            <w:r w:rsidRPr="00002F15">
              <w:rPr>
                <w:rFonts w:asciiTheme="majorHAnsi" w:hAnsiTheme="majorHAnsi" w:cstheme="majorHAnsi"/>
              </w:rPr>
              <w:t>ducking</w:t>
            </w:r>
            <w:proofErr w:type="spellEnd"/>
            <w:r w:rsidRPr="00002F15">
              <w:rPr>
                <w:rFonts w:asciiTheme="majorHAnsi" w:hAnsiTheme="majorHAnsi" w:cstheme="majorHAnsi"/>
              </w:rPr>
              <w:t>) de audio</w:t>
            </w:r>
          </w:p>
          <w:p w14:paraId="3643FB6E"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Bluetooth</w:t>
            </w:r>
          </w:p>
          <w:p w14:paraId="69116999" w14:textId="77777777" w:rsidR="00D7404C" w:rsidRPr="00002F15" w:rsidRDefault="00D7404C" w:rsidP="00CF7688">
            <w:pPr>
              <w:spacing w:after="0"/>
              <w:jc w:val="both"/>
              <w:rPr>
                <w:rFonts w:asciiTheme="majorHAnsi" w:hAnsiTheme="majorHAnsi" w:cstheme="majorHAnsi"/>
                <w:b/>
                <w:bCs/>
              </w:rPr>
            </w:pPr>
            <w:r w:rsidRPr="00002F15">
              <w:rPr>
                <w:rFonts w:asciiTheme="majorHAnsi" w:hAnsiTheme="majorHAnsi" w:cstheme="majorHAnsi"/>
                <w:b/>
                <w:bCs/>
              </w:rPr>
              <w:t>Medidas</w:t>
            </w:r>
          </w:p>
          <w:p w14:paraId="5C0D0D17"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Anchura (en)17.2</w:t>
            </w:r>
          </w:p>
          <w:p w14:paraId="7BBC0484"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Peso (libras)37.3</w:t>
            </w:r>
          </w:p>
          <w:p w14:paraId="770641FF"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Ancho (mm)438</w:t>
            </w:r>
          </w:p>
          <w:p w14:paraId="461ED231"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Altura (en)27.6</w:t>
            </w:r>
          </w:p>
          <w:p w14:paraId="277273B3"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Altura (mm)702</w:t>
            </w:r>
          </w:p>
          <w:p w14:paraId="6CCD61F5"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Peso (kg)16.9</w:t>
            </w:r>
          </w:p>
          <w:p w14:paraId="1E33DC3B" w14:textId="77777777" w:rsidR="00D7404C" w:rsidRPr="00002F15" w:rsidRDefault="00D7404C" w:rsidP="00CF7688">
            <w:pPr>
              <w:spacing w:after="0"/>
              <w:jc w:val="both"/>
              <w:rPr>
                <w:rFonts w:asciiTheme="majorHAnsi" w:hAnsiTheme="majorHAnsi" w:cstheme="majorHAnsi"/>
              </w:rPr>
            </w:pPr>
            <w:r w:rsidRPr="00002F15">
              <w:rPr>
                <w:rFonts w:asciiTheme="majorHAnsi" w:hAnsiTheme="majorHAnsi" w:cstheme="majorHAnsi"/>
              </w:rPr>
              <w:t>Profundidad (</w:t>
            </w:r>
            <w:proofErr w:type="spellStart"/>
            <w:r w:rsidRPr="00002F15">
              <w:rPr>
                <w:rFonts w:asciiTheme="majorHAnsi" w:hAnsiTheme="majorHAnsi" w:cstheme="majorHAnsi"/>
              </w:rPr>
              <w:t>pulg</w:t>
            </w:r>
            <w:proofErr w:type="spellEnd"/>
            <w:r w:rsidRPr="00002F15">
              <w:rPr>
                <w:rFonts w:asciiTheme="majorHAnsi" w:hAnsiTheme="majorHAnsi" w:cstheme="majorHAnsi"/>
              </w:rPr>
              <w:t>)13.8</w:t>
            </w:r>
          </w:p>
          <w:p w14:paraId="46949063" w14:textId="77777777" w:rsidR="00D7404C" w:rsidRPr="000D6114" w:rsidRDefault="00D7404C" w:rsidP="00CF7688">
            <w:pPr>
              <w:spacing w:after="0"/>
              <w:jc w:val="both"/>
              <w:rPr>
                <w:rFonts w:asciiTheme="majorHAnsi" w:hAnsiTheme="majorHAnsi" w:cstheme="majorHAnsi"/>
              </w:rPr>
            </w:pPr>
            <w:r w:rsidRPr="00002F15">
              <w:rPr>
                <w:rFonts w:asciiTheme="majorHAnsi" w:hAnsiTheme="majorHAnsi" w:cstheme="majorHAnsi"/>
              </w:rPr>
              <w:t>Profundidad (mm)351</w:t>
            </w:r>
          </w:p>
        </w:tc>
      </w:tr>
      <w:tr w:rsidR="00D7404C" w:rsidRPr="00C77529" w14:paraId="1B8C29AB"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168B91A5"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035F1B18"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729F2B60" w14:textId="77777777" w:rsidR="00D7404C" w:rsidRPr="000D6114" w:rsidRDefault="00D7404C" w:rsidP="00CF7688">
            <w:pPr>
              <w:pStyle w:val="Sinespaciado"/>
              <w:rPr>
                <w:rFonts w:asciiTheme="majorHAnsi" w:hAnsiTheme="majorHAnsi" w:cstheme="majorHAnsi"/>
                <w:b/>
                <w:bCs/>
              </w:rPr>
            </w:pPr>
            <w:r>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5F5002E6" w14:textId="77777777" w:rsidR="00D7404C" w:rsidRPr="00D05F96" w:rsidRDefault="00D7404C" w:rsidP="00CF7688">
            <w:pPr>
              <w:spacing w:after="0"/>
              <w:jc w:val="both"/>
              <w:rPr>
                <w:rFonts w:asciiTheme="majorHAnsi" w:hAnsiTheme="majorHAnsi" w:cstheme="majorHAnsi"/>
              </w:rPr>
            </w:pPr>
            <w:r w:rsidRPr="00A80045">
              <w:rPr>
                <w:rFonts w:asciiTheme="majorHAnsi" w:hAnsiTheme="majorHAnsi" w:cstheme="majorHAnsi"/>
                <w:b/>
                <w:bCs/>
              </w:rPr>
              <w:t>FUNDAS</w:t>
            </w:r>
            <w:r>
              <w:rPr>
                <w:rFonts w:asciiTheme="majorHAnsi" w:hAnsiTheme="majorHAnsi" w:cstheme="majorHAnsi"/>
              </w:rPr>
              <w:t xml:space="preserve"> para bafles</w:t>
            </w:r>
            <w:r w:rsidRPr="00E04E22">
              <w:rPr>
                <w:rFonts w:asciiTheme="majorHAnsi" w:hAnsiTheme="majorHAnsi" w:cstheme="majorHAnsi"/>
              </w:rPr>
              <w:t xml:space="preserve"> 15" poliéster</w:t>
            </w:r>
            <w:r>
              <w:rPr>
                <w:rFonts w:asciiTheme="majorHAnsi" w:hAnsiTheme="majorHAnsi" w:cstheme="majorHAnsi"/>
              </w:rPr>
              <w:t xml:space="preserve">, color </w:t>
            </w:r>
            <w:r w:rsidRPr="00E04E22">
              <w:rPr>
                <w:rFonts w:asciiTheme="majorHAnsi" w:hAnsiTheme="majorHAnsi" w:cstheme="majorHAnsi"/>
              </w:rPr>
              <w:t>Negro</w:t>
            </w:r>
          </w:p>
        </w:tc>
      </w:tr>
      <w:tr w:rsidR="00D7404C" w:rsidRPr="00C77529" w14:paraId="4D46C3B7"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6B273F1D"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3</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5BAD2C00"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1D7DEE91" w14:textId="77777777" w:rsidR="00D7404C" w:rsidRPr="000D6114" w:rsidRDefault="00D7404C" w:rsidP="00CF7688">
            <w:pPr>
              <w:pStyle w:val="Sinespaciado"/>
              <w:rPr>
                <w:rFonts w:asciiTheme="majorHAnsi" w:hAnsiTheme="majorHAnsi" w:cstheme="majorHAnsi"/>
                <w:b/>
                <w:bCs/>
              </w:rPr>
            </w:pPr>
          </w:p>
          <w:p w14:paraId="0336001B"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49AEAD9A" w14:textId="77777777" w:rsidR="00D7404C" w:rsidRPr="00FA4FA2" w:rsidRDefault="00D7404C" w:rsidP="00CF7688">
            <w:pPr>
              <w:spacing w:after="0"/>
              <w:jc w:val="both"/>
              <w:rPr>
                <w:rFonts w:asciiTheme="majorHAnsi" w:hAnsiTheme="majorHAnsi" w:cstheme="majorHAnsi"/>
              </w:rPr>
            </w:pPr>
            <w:r w:rsidRPr="00A80045">
              <w:rPr>
                <w:rFonts w:asciiTheme="majorHAnsi" w:hAnsiTheme="majorHAnsi" w:cstheme="majorHAnsi"/>
                <w:b/>
                <w:bCs/>
              </w:rPr>
              <w:t>PEDESTAL (TRIPIÉ)</w:t>
            </w:r>
            <w:r w:rsidRPr="00D05F96">
              <w:rPr>
                <w:rFonts w:asciiTheme="majorHAnsi" w:hAnsiTheme="majorHAnsi" w:cstheme="majorHAnsi"/>
              </w:rPr>
              <w:t xml:space="preserve"> de 3 Posiciones, para bafles</w:t>
            </w:r>
            <w:r>
              <w:rPr>
                <w:rFonts w:asciiTheme="majorHAnsi" w:hAnsiTheme="majorHAnsi" w:cstheme="majorHAnsi"/>
              </w:rPr>
              <w:t xml:space="preserve"> de 15” color negro peso minino de kg. 45 de soporte, altura mínima de 2 m. </w:t>
            </w:r>
          </w:p>
        </w:tc>
      </w:tr>
      <w:tr w:rsidR="00D7404C" w:rsidRPr="00C77529" w14:paraId="47FC37D2"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2ECF1B00"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4</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5A4B8878"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1EBF49A6" w14:textId="77777777" w:rsidR="00D7404C" w:rsidRPr="000D6114" w:rsidRDefault="00D7404C" w:rsidP="00CF7688">
            <w:pPr>
              <w:pStyle w:val="Sinespaciado"/>
              <w:rPr>
                <w:rFonts w:asciiTheme="majorHAnsi" w:hAnsiTheme="majorHAnsi" w:cstheme="majorHAnsi"/>
                <w:b/>
                <w:bCs/>
              </w:rPr>
            </w:pPr>
          </w:p>
          <w:p w14:paraId="2B7927EB"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61FD2834" w14:textId="77777777" w:rsidR="00D7404C" w:rsidRPr="00FA4FA2" w:rsidRDefault="00D7404C" w:rsidP="00CF7688">
            <w:pPr>
              <w:spacing w:after="0"/>
              <w:jc w:val="both"/>
              <w:rPr>
                <w:rFonts w:asciiTheme="majorHAnsi" w:hAnsiTheme="majorHAnsi" w:cstheme="majorHAnsi"/>
              </w:rPr>
            </w:pPr>
            <w:r w:rsidRPr="00A80045">
              <w:rPr>
                <w:rFonts w:asciiTheme="majorHAnsi" w:hAnsiTheme="majorHAnsi" w:cstheme="majorHAnsi"/>
                <w:b/>
                <w:bCs/>
              </w:rPr>
              <w:t>CABLE DE MICRÓFONO</w:t>
            </w:r>
            <w:r w:rsidRPr="00D05F96">
              <w:rPr>
                <w:rFonts w:asciiTheme="majorHAnsi" w:hAnsiTheme="majorHAnsi" w:cstheme="majorHAnsi"/>
              </w:rPr>
              <w:t>, XLR, Macho a Hembra</w:t>
            </w:r>
            <w:r>
              <w:rPr>
                <w:rFonts w:asciiTheme="majorHAnsi" w:hAnsiTheme="majorHAnsi" w:cstheme="majorHAnsi"/>
              </w:rPr>
              <w:t xml:space="preserve"> de 10 metros </w:t>
            </w:r>
          </w:p>
        </w:tc>
      </w:tr>
      <w:tr w:rsidR="00D7404C" w:rsidRPr="00C77529" w14:paraId="00F16D5F"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31F64077"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5</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4F13F284"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4B4B9143" w14:textId="77777777" w:rsidR="00D7404C" w:rsidRPr="000D6114" w:rsidRDefault="00D7404C" w:rsidP="00CF7688">
            <w:pPr>
              <w:pStyle w:val="Sinespaciado"/>
              <w:rPr>
                <w:rFonts w:asciiTheme="majorHAnsi" w:hAnsiTheme="majorHAnsi" w:cstheme="majorHAnsi"/>
                <w:b/>
                <w:bCs/>
              </w:rPr>
            </w:pPr>
          </w:p>
          <w:p w14:paraId="2D1092FB"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6FE36047" w14:textId="77777777" w:rsidR="00D7404C" w:rsidRPr="00FA4FA2" w:rsidRDefault="00D7404C" w:rsidP="00CF7688">
            <w:pPr>
              <w:spacing w:after="0"/>
              <w:jc w:val="both"/>
              <w:rPr>
                <w:rFonts w:asciiTheme="majorHAnsi" w:hAnsiTheme="majorHAnsi" w:cstheme="majorHAnsi"/>
              </w:rPr>
            </w:pPr>
            <w:r w:rsidRPr="00A80045">
              <w:rPr>
                <w:rFonts w:asciiTheme="majorHAnsi" w:hAnsiTheme="majorHAnsi" w:cstheme="majorHAnsi"/>
                <w:b/>
                <w:bCs/>
              </w:rPr>
              <w:t xml:space="preserve">MULTICONTACTO </w:t>
            </w:r>
            <w:r w:rsidRPr="00364E11">
              <w:rPr>
                <w:rFonts w:asciiTheme="majorHAnsi" w:hAnsiTheme="majorHAnsi" w:cstheme="majorHAnsi"/>
              </w:rPr>
              <w:t xml:space="preserve">uso industrial, 10 entradas, supresor, 1200 </w:t>
            </w:r>
            <w:proofErr w:type="spellStart"/>
            <w:r w:rsidRPr="00364E11">
              <w:rPr>
                <w:rFonts w:asciiTheme="majorHAnsi" w:hAnsiTheme="majorHAnsi" w:cstheme="majorHAnsi"/>
              </w:rPr>
              <w:t>joules</w:t>
            </w:r>
            <w:proofErr w:type="spellEnd"/>
          </w:p>
        </w:tc>
      </w:tr>
      <w:tr w:rsidR="00D7404C" w:rsidRPr="00C77529" w14:paraId="257C1130"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48FD8671"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6</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411B67FB"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1</w:t>
            </w:r>
          </w:p>
        </w:tc>
        <w:tc>
          <w:tcPr>
            <w:tcW w:w="1200" w:type="dxa"/>
            <w:tcBorders>
              <w:top w:val="nil"/>
              <w:left w:val="nil"/>
              <w:bottom w:val="single" w:sz="4" w:space="0" w:color="auto"/>
              <w:right w:val="single" w:sz="4" w:space="0" w:color="auto"/>
            </w:tcBorders>
            <w:shd w:val="clear" w:color="auto" w:fill="FFFFFF" w:themeFill="background1"/>
            <w:noWrap/>
          </w:tcPr>
          <w:p w14:paraId="5370DFB3" w14:textId="77777777" w:rsidR="00D7404C" w:rsidRPr="000D6114" w:rsidRDefault="00D7404C" w:rsidP="00CF7688">
            <w:pPr>
              <w:pStyle w:val="Sinespaciado"/>
              <w:rPr>
                <w:rFonts w:asciiTheme="majorHAnsi" w:hAnsiTheme="majorHAnsi" w:cstheme="majorHAnsi"/>
                <w:b/>
                <w:bCs/>
              </w:rPr>
            </w:pPr>
          </w:p>
          <w:p w14:paraId="2C42B5DD"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16479EFA" w14:textId="77777777" w:rsidR="00D7404C" w:rsidRDefault="00D7404C" w:rsidP="00CF7688">
            <w:pPr>
              <w:spacing w:after="0"/>
              <w:jc w:val="both"/>
            </w:pPr>
            <w:r w:rsidRPr="00D5108E">
              <w:rPr>
                <w:rFonts w:asciiTheme="majorHAnsi" w:hAnsiTheme="majorHAnsi" w:cstheme="majorHAnsi"/>
                <w:b/>
                <w:bCs/>
              </w:rPr>
              <w:t xml:space="preserve">CONSOLA </w:t>
            </w:r>
            <w:r>
              <w:rPr>
                <w:rFonts w:asciiTheme="majorHAnsi" w:hAnsiTheme="majorHAnsi" w:cstheme="majorHAnsi"/>
              </w:rPr>
              <w:t>con las siguientes especificaciones mínimas:</w:t>
            </w:r>
          </w:p>
          <w:p w14:paraId="54AA9F6E"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Mezclador de efectos compacto de 12 canales con rendimiento probado de alto margen dinámico y bajo ruido.</w:t>
            </w:r>
          </w:p>
          <w:p w14:paraId="30B32B29"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-4 entradas de micrófono/línea con calidad de audio de nivel de estudio.</w:t>
            </w:r>
          </w:p>
          <w:p w14:paraId="648B8275"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-EQ de 3 bandas con configuración de tono limpia y precisa.</w:t>
            </w:r>
          </w:p>
          <w:p w14:paraId="5718B60B"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-Filtro de corte bajo (75 Hz).</w:t>
            </w:r>
          </w:p>
          <w:p w14:paraId="6A0CA148"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 xml:space="preserve">-Indicación de panorámica, nivel y </w:t>
            </w:r>
            <w:proofErr w:type="gramStart"/>
            <w:r w:rsidRPr="00D5108E">
              <w:rPr>
                <w:rFonts w:asciiTheme="majorHAnsi" w:hAnsiTheme="majorHAnsi" w:cstheme="majorHAnsi"/>
              </w:rPr>
              <w:t>sobrecarga..</w:t>
            </w:r>
            <w:proofErr w:type="gramEnd"/>
          </w:p>
          <w:p w14:paraId="01942678"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-Alimentación fantasma para micrófonos de condensador de estudio.</w:t>
            </w:r>
          </w:p>
          <w:p w14:paraId="2B947EDF"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-4 entradas de línea estéreo de 1/4'.</w:t>
            </w:r>
          </w:p>
          <w:p w14:paraId="7AD3EA1B"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lastRenderedPageBreak/>
              <w:t>-Operación +4/-10dB.</w:t>
            </w:r>
          </w:p>
          <w:p w14:paraId="2EC902E3"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-Indicación de equilibrio, nivel y sobrecarga.</w:t>
            </w:r>
          </w:p>
          <w:p w14:paraId="70807E14"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-12 efectos integrados de gran sonido que incluyen reverberaciones, coros y retrasos.</w:t>
            </w:r>
          </w:p>
          <w:p w14:paraId="0C71A746"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-Entradas/salidas RCA estéreo dedicadas para reproducción o grabación.</w:t>
            </w:r>
          </w:p>
          <w:p w14:paraId="7F2AF261" w14:textId="77777777" w:rsidR="00D7404C" w:rsidRDefault="00D7404C" w:rsidP="00CF7688">
            <w:pPr>
              <w:spacing w:after="0"/>
              <w:jc w:val="both"/>
              <w:rPr>
                <w:rFonts w:asciiTheme="majorHAnsi" w:hAnsiTheme="majorHAnsi" w:cstheme="majorHAnsi"/>
              </w:rPr>
            </w:pPr>
            <w:r w:rsidRPr="00D5108E">
              <w:rPr>
                <w:rFonts w:asciiTheme="majorHAnsi" w:hAnsiTheme="majorHAnsi" w:cstheme="majorHAnsi"/>
              </w:rPr>
              <w:t>-</w:t>
            </w:r>
            <w:proofErr w:type="spellStart"/>
            <w:r w:rsidRPr="00D5108E">
              <w:rPr>
                <w:rFonts w:asciiTheme="majorHAnsi" w:hAnsiTheme="majorHAnsi" w:cstheme="majorHAnsi"/>
              </w:rPr>
              <w:t>Fader</w:t>
            </w:r>
            <w:proofErr w:type="spellEnd"/>
            <w:r w:rsidRPr="00D5108E">
              <w:rPr>
                <w:rFonts w:asciiTheme="majorHAnsi" w:hAnsiTheme="majorHAnsi" w:cstheme="majorHAnsi"/>
              </w:rPr>
              <w:t xml:space="preserve"> de 60 mm para salidas principales L/R.</w:t>
            </w:r>
          </w:p>
          <w:p w14:paraId="2DA17E28"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Voltaje: 127V.</w:t>
            </w:r>
          </w:p>
          <w:p w14:paraId="27719561"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Mezcladora: analógica.</w:t>
            </w:r>
          </w:p>
          <w:p w14:paraId="4B7C83B4"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Fabricada en metal.</w:t>
            </w:r>
          </w:p>
          <w:p w14:paraId="02D56597"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 xml:space="preserve">Con </w:t>
            </w:r>
            <w:proofErr w:type="spellStart"/>
            <w:r w:rsidRPr="00D5108E">
              <w:rPr>
                <w:rFonts w:asciiTheme="majorHAnsi" w:hAnsiTheme="majorHAnsi" w:cstheme="majorHAnsi"/>
              </w:rPr>
              <w:t>equalizador</w:t>
            </w:r>
            <w:proofErr w:type="spellEnd"/>
            <w:r w:rsidRPr="00D5108E">
              <w:rPr>
                <w:rFonts w:asciiTheme="majorHAnsi" w:hAnsiTheme="majorHAnsi" w:cstheme="majorHAnsi"/>
              </w:rPr>
              <w:t>.</w:t>
            </w:r>
          </w:p>
          <w:p w14:paraId="4FA6F31F" w14:textId="77777777" w:rsidR="00D7404C" w:rsidRPr="00D5108E" w:rsidRDefault="00D7404C" w:rsidP="00CF7688">
            <w:pPr>
              <w:spacing w:after="0"/>
              <w:jc w:val="both"/>
              <w:rPr>
                <w:rFonts w:asciiTheme="majorHAnsi" w:hAnsiTheme="majorHAnsi" w:cstheme="majorHAnsi"/>
              </w:rPr>
            </w:pPr>
            <w:r w:rsidRPr="00D5108E">
              <w:rPr>
                <w:rFonts w:asciiTheme="majorHAnsi" w:hAnsiTheme="majorHAnsi" w:cstheme="majorHAnsi"/>
              </w:rPr>
              <w:t>Tipo de alimentación: corriente eléctrica.</w:t>
            </w:r>
          </w:p>
          <w:p w14:paraId="52C9DEFA" w14:textId="77777777" w:rsidR="00D7404C" w:rsidRPr="00FA4FA2" w:rsidRDefault="00D7404C" w:rsidP="00CF7688">
            <w:pPr>
              <w:spacing w:after="0"/>
              <w:jc w:val="both"/>
              <w:rPr>
                <w:rFonts w:asciiTheme="majorHAnsi" w:hAnsiTheme="majorHAnsi" w:cstheme="majorHAnsi"/>
              </w:rPr>
            </w:pPr>
            <w:r w:rsidRPr="00D5108E">
              <w:rPr>
                <w:rFonts w:asciiTheme="majorHAnsi" w:hAnsiTheme="majorHAnsi" w:cstheme="majorHAnsi"/>
              </w:rPr>
              <w:t>Consumo de energía: 18W</w:t>
            </w:r>
          </w:p>
        </w:tc>
      </w:tr>
      <w:tr w:rsidR="00D7404C" w:rsidRPr="00C77529" w14:paraId="11D6256E"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23AC1549"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lastRenderedPageBreak/>
              <w:t>7</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1BB969DD"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6</w:t>
            </w:r>
          </w:p>
        </w:tc>
        <w:tc>
          <w:tcPr>
            <w:tcW w:w="1200" w:type="dxa"/>
            <w:tcBorders>
              <w:top w:val="nil"/>
              <w:left w:val="nil"/>
              <w:bottom w:val="single" w:sz="4" w:space="0" w:color="auto"/>
              <w:right w:val="single" w:sz="4" w:space="0" w:color="auto"/>
            </w:tcBorders>
            <w:shd w:val="clear" w:color="auto" w:fill="FFFFFF" w:themeFill="background1"/>
            <w:noWrap/>
          </w:tcPr>
          <w:p w14:paraId="331EFCAE" w14:textId="77777777" w:rsidR="00D7404C" w:rsidRPr="000D6114" w:rsidRDefault="00D7404C" w:rsidP="00CF7688">
            <w:pPr>
              <w:pStyle w:val="Sinespaciado"/>
              <w:rPr>
                <w:rFonts w:asciiTheme="majorHAnsi" w:hAnsiTheme="majorHAnsi" w:cstheme="majorHAnsi"/>
                <w:b/>
                <w:bCs/>
              </w:rPr>
            </w:pPr>
          </w:p>
          <w:p w14:paraId="46D07E4B"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4789F057" w14:textId="77777777" w:rsidR="00D7404C" w:rsidRPr="00FA4FA2" w:rsidRDefault="00D7404C" w:rsidP="00CF7688">
            <w:pPr>
              <w:spacing w:after="0"/>
              <w:jc w:val="both"/>
              <w:rPr>
                <w:rFonts w:asciiTheme="majorHAnsi" w:hAnsiTheme="majorHAnsi" w:cstheme="majorHAnsi"/>
              </w:rPr>
            </w:pPr>
            <w:r w:rsidRPr="00A80045">
              <w:rPr>
                <w:rFonts w:asciiTheme="majorHAnsi" w:hAnsiTheme="majorHAnsi" w:cstheme="majorHAnsi"/>
                <w:b/>
                <w:bCs/>
              </w:rPr>
              <w:t>CINTA</w:t>
            </w:r>
            <w:r w:rsidRPr="00364E11">
              <w:rPr>
                <w:rFonts w:asciiTheme="majorHAnsi" w:hAnsiTheme="majorHAnsi" w:cstheme="majorHAnsi"/>
              </w:rPr>
              <w:t xml:space="preserve"> De 50 M Para Ducto, Espesor 0.16 Mm, Color Gris</w:t>
            </w:r>
          </w:p>
        </w:tc>
      </w:tr>
      <w:tr w:rsidR="00D7404C" w:rsidRPr="00C77529" w14:paraId="30ED7FAA" w14:textId="77777777" w:rsidTr="00CF7688">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5F66AF0C" w14:textId="77777777" w:rsidR="00D7404C" w:rsidRPr="00A3654A"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8</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01564125" w14:textId="77777777" w:rsidR="00D7404C" w:rsidRPr="000D6114" w:rsidRDefault="00D7404C" w:rsidP="00CF7688">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650DDD7D" w14:textId="77777777" w:rsidR="00D7404C" w:rsidRPr="000D6114" w:rsidRDefault="00D7404C" w:rsidP="00CF7688">
            <w:pPr>
              <w:pStyle w:val="Sinespaciado"/>
              <w:rPr>
                <w:rFonts w:asciiTheme="majorHAnsi" w:hAnsiTheme="majorHAnsi" w:cstheme="majorHAnsi"/>
                <w:b/>
                <w:bCs/>
              </w:rPr>
            </w:pPr>
          </w:p>
          <w:p w14:paraId="5FF6F554" w14:textId="77777777" w:rsidR="00D7404C" w:rsidRPr="000D6114" w:rsidRDefault="00D7404C" w:rsidP="00CF7688">
            <w:pPr>
              <w:pStyle w:val="Sinespaciado"/>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202E728E" w14:textId="77777777" w:rsidR="00D7404C" w:rsidRPr="00FA4FA2" w:rsidRDefault="00D7404C" w:rsidP="00CF7688">
            <w:pPr>
              <w:spacing w:after="0"/>
              <w:jc w:val="both"/>
              <w:rPr>
                <w:rFonts w:asciiTheme="majorHAnsi" w:hAnsiTheme="majorHAnsi" w:cstheme="majorHAnsi"/>
              </w:rPr>
            </w:pPr>
            <w:r w:rsidRPr="00A80045">
              <w:rPr>
                <w:rFonts w:asciiTheme="majorHAnsi" w:hAnsiTheme="majorHAnsi" w:cstheme="majorHAnsi"/>
                <w:b/>
                <w:bCs/>
              </w:rPr>
              <w:t>EXTENSION</w:t>
            </w:r>
            <w:r w:rsidRPr="00843F2F">
              <w:rPr>
                <w:rFonts w:asciiTheme="majorHAnsi" w:hAnsiTheme="majorHAnsi" w:cstheme="majorHAnsi"/>
              </w:rPr>
              <w:t xml:space="preserve"> Cable Uso Rudo 30 Metros Calibre 12 Contacto Doble Color Negro</w:t>
            </w:r>
          </w:p>
        </w:tc>
      </w:tr>
    </w:tbl>
    <w:p w14:paraId="26B1BAAD" w14:textId="77777777" w:rsidR="007B5BC1" w:rsidRDefault="007B5BC1" w:rsidP="006A4E6B">
      <w:pPr>
        <w:spacing w:after="0" w:line="240" w:lineRule="auto"/>
        <w:jc w:val="both"/>
        <w:rPr>
          <w:b/>
        </w:rPr>
      </w:pPr>
    </w:p>
    <w:p w14:paraId="70E4D3C5" w14:textId="369821ED" w:rsidR="006A4E6B" w:rsidRPr="00E22090" w:rsidRDefault="006A4E6B" w:rsidP="006A4E6B">
      <w:pPr>
        <w:spacing w:after="0" w:line="240" w:lineRule="auto"/>
        <w:jc w:val="both"/>
        <w:rPr>
          <w:b/>
        </w:rPr>
      </w:pPr>
      <w:r w:rsidRPr="00E22090">
        <w:rPr>
          <w:b/>
        </w:rPr>
        <w:t xml:space="preserve">Nota: </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0645AFD6" w14:textId="77777777" w:rsidR="007B5BC1" w:rsidRDefault="007B5BC1" w:rsidP="002910B3">
      <w:pPr>
        <w:spacing w:after="0" w:line="240" w:lineRule="auto"/>
        <w:jc w:val="center"/>
        <w:rPr>
          <w:b/>
          <w:sz w:val="28"/>
          <w:szCs w:val="28"/>
        </w:rPr>
      </w:pPr>
    </w:p>
    <w:p w14:paraId="16DE30B7" w14:textId="77777777" w:rsidR="00531F8C" w:rsidRDefault="00531F8C" w:rsidP="002910B3">
      <w:pPr>
        <w:spacing w:after="0" w:line="240" w:lineRule="auto"/>
        <w:jc w:val="center"/>
        <w:rPr>
          <w:b/>
          <w:sz w:val="28"/>
          <w:szCs w:val="28"/>
        </w:rPr>
      </w:pPr>
    </w:p>
    <w:p w14:paraId="63E93D15" w14:textId="77777777" w:rsidR="00531F8C" w:rsidRDefault="00531F8C" w:rsidP="002910B3">
      <w:pPr>
        <w:spacing w:after="0" w:line="240" w:lineRule="auto"/>
        <w:jc w:val="center"/>
        <w:rPr>
          <w:b/>
          <w:sz w:val="28"/>
          <w:szCs w:val="28"/>
        </w:rPr>
      </w:pPr>
    </w:p>
    <w:p w14:paraId="7A14512E" w14:textId="77777777" w:rsidR="00531F8C" w:rsidRDefault="00531F8C" w:rsidP="002910B3">
      <w:pPr>
        <w:spacing w:after="0" w:line="240" w:lineRule="auto"/>
        <w:jc w:val="center"/>
        <w:rPr>
          <w:b/>
          <w:sz w:val="28"/>
          <w:szCs w:val="28"/>
        </w:rPr>
      </w:pPr>
    </w:p>
    <w:p w14:paraId="2E1C2E84" w14:textId="77777777" w:rsidR="00531F8C" w:rsidRDefault="00531F8C" w:rsidP="002910B3">
      <w:pPr>
        <w:spacing w:after="0" w:line="240" w:lineRule="auto"/>
        <w:jc w:val="center"/>
        <w:rPr>
          <w:b/>
          <w:sz w:val="28"/>
          <w:szCs w:val="28"/>
        </w:rPr>
      </w:pPr>
    </w:p>
    <w:p w14:paraId="222456DE" w14:textId="77777777" w:rsidR="00531F8C" w:rsidRDefault="00531F8C" w:rsidP="002910B3">
      <w:pPr>
        <w:spacing w:after="0" w:line="240" w:lineRule="auto"/>
        <w:jc w:val="center"/>
        <w:rPr>
          <w:b/>
          <w:sz w:val="28"/>
          <w:szCs w:val="28"/>
        </w:rPr>
      </w:pPr>
    </w:p>
    <w:p w14:paraId="1D9F4D00" w14:textId="77777777" w:rsidR="00531F8C" w:rsidRDefault="00531F8C" w:rsidP="002910B3">
      <w:pPr>
        <w:spacing w:after="0" w:line="240" w:lineRule="auto"/>
        <w:jc w:val="center"/>
        <w:rPr>
          <w:b/>
          <w:sz w:val="28"/>
          <w:szCs w:val="28"/>
        </w:rPr>
      </w:pPr>
    </w:p>
    <w:p w14:paraId="254872D1" w14:textId="77777777" w:rsidR="00531F8C" w:rsidRDefault="00531F8C" w:rsidP="002910B3">
      <w:pPr>
        <w:spacing w:after="0" w:line="240" w:lineRule="auto"/>
        <w:jc w:val="center"/>
        <w:rPr>
          <w:b/>
          <w:sz w:val="28"/>
          <w:szCs w:val="28"/>
        </w:rPr>
      </w:pPr>
    </w:p>
    <w:p w14:paraId="57502122" w14:textId="77777777" w:rsidR="00531F8C" w:rsidRDefault="00531F8C" w:rsidP="002910B3">
      <w:pPr>
        <w:spacing w:after="0" w:line="240" w:lineRule="auto"/>
        <w:jc w:val="center"/>
        <w:rPr>
          <w:b/>
          <w:sz w:val="28"/>
          <w:szCs w:val="28"/>
        </w:rPr>
      </w:pPr>
    </w:p>
    <w:p w14:paraId="739D5080" w14:textId="77777777" w:rsidR="00531F8C" w:rsidRDefault="00531F8C" w:rsidP="002910B3">
      <w:pPr>
        <w:spacing w:after="0" w:line="240" w:lineRule="auto"/>
        <w:jc w:val="center"/>
        <w:rPr>
          <w:b/>
          <w:sz w:val="28"/>
          <w:szCs w:val="28"/>
        </w:rPr>
      </w:pPr>
    </w:p>
    <w:p w14:paraId="542CB492" w14:textId="77777777" w:rsidR="00531F8C" w:rsidRDefault="00531F8C" w:rsidP="002910B3">
      <w:pPr>
        <w:spacing w:after="0" w:line="240" w:lineRule="auto"/>
        <w:jc w:val="center"/>
        <w:rPr>
          <w:b/>
          <w:sz w:val="28"/>
          <w:szCs w:val="28"/>
        </w:rPr>
      </w:pPr>
    </w:p>
    <w:p w14:paraId="05E08753" w14:textId="77777777" w:rsidR="00531F8C" w:rsidRDefault="00531F8C" w:rsidP="002910B3">
      <w:pPr>
        <w:spacing w:after="0" w:line="240" w:lineRule="auto"/>
        <w:jc w:val="center"/>
        <w:rPr>
          <w:b/>
          <w:sz w:val="28"/>
          <w:szCs w:val="28"/>
        </w:rPr>
      </w:pPr>
    </w:p>
    <w:p w14:paraId="46A1BCDA" w14:textId="77777777" w:rsidR="00531F8C" w:rsidRDefault="00531F8C"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F7B7" w14:textId="77777777" w:rsidR="00C936A4" w:rsidRPr="00E22090" w:rsidRDefault="00C936A4">
      <w:pPr>
        <w:spacing w:after="0" w:line="240" w:lineRule="auto"/>
      </w:pPr>
      <w:r w:rsidRPr="00E22090">
        <w:separator/>
      </w:r>
    </w:p>
  </w:endnote>
  <w:endnote w:type="continuationSeparator" w:id="0">
    <w:p w14:paraId="7D30F7D4" w14:textId="77777777" w:rsidR="00C936A4" w:rsidRPr="00E22090" w:rsidRDefault="00C936A4">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C05F" w14:textId="77777777" w:rsidR="00C936A4" w:rsidRPr="00E22090" w:rsidRDefault="00C936A4">
      <w:pPr>
        <w:spacing w:after="0" w:line="240" w:lineRule="auto"/>
      </w:pPr>
      <w:r w:rsidRPr="00E22090">
        <w:separator/>
      </w:r>
    </w:p>
  </w:footnote>
  <w:footnote w:type="continuationSeparator" w:id="0">
    <w:p w14:paraId="253F0870" w14:textId="77777777" w:rsidR="00C936A4" w:rsidRPr="00E22090" w:rsidRDefault="00C936A4">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2812"/>
    <w:rsid w:val="001D3040"/>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85DCF"/>
    <w:rsid w:val="00490EB8"/>
    <w:rsid w:val="004977AD"/>
    <w:rsid w:val="004A545E"/>
    <w:rsid w:val="004B3D80"/>
    <w:rsid w:val="004C05F0"/>
    <w:rsid w:val="004D1137"/>
    <w:rsid w:val="004D270E"/>
    <w:rsid w:val="004D33E5"/>
    <w:rsid w:val="004E0F2B"/>
    <w:rsid w:val="004E3E92"/>
    <w:rsid w:val="004F1110"/>
    <w:rsid w:val="004F6BA5"/>
    <w:rsid w:val="00503AD5"/>
    <w:rsid w:val="00511EE9"/>
    <w:rsid w:val="00523D74"/>
    <w:rsid w:val="00531F8C"/>
    <w:rsid w:val="0053516B"/>
    <w:rsid w:val="005515E5"/>
    <w:rsid w:val="00556547"/>
    <w:rsid w:val="00556F13"/>
    <w:rsid w:val="005625F1"/>
    <w:rsid w:val="00570B47"/>
    <w:rsid w:val="00574391"/>
    <w:rsid w:val="00576FCB"/>
    <w:rsid w:val="005A0790"/>
    <w:rsid w:val="005A14B6"/>
    <w:rsid w:val="005A3346"/>
    <w:rsid w:val="005C349A"/>
    <w:rsid w:val="005C5E42"/>
    <w:rsid w:val="005E2AFA"/>
    <w:rsid w:val="005E6E96"/>
    <w:rsid w:val="00604702"/>
    <w:rsid w:val="00641FCF"/>
    <w:rsid w:val="00652559"/>
    <w:rsid w:val="006622A0"/>
    <w:rsid w:val="00672E11"/>
    <w:rsid w:val="006757C4"/>
    <w:rsid w:val="00677616"/>
    <w:rsid w:val="00686B16"/>
    <w:rsid w:val="00687EC6"/>
    <w:rsid w:val="00690DE2"/>
    <w:rsid w:val="006A4E6B"/>
    <w:rsid w:val="006A50AB"/>
    <w:rsid w:val="006B1016"/>
    <w:rsid w:val="006B52B9"/>
    <w:rsid w:val="006C0827"/>
    <w:rsid w:val="006C776F"/>
    <w:rsid w:val="006D1DC6"/>
    <w:rsid w:val="006E03C5"/>
    <w:rsid w:val="006F1309"/>
    <w:rsid w:val="006F3196"/>
    <w:rsid w:val="006F4EFC"/>
    <w:rsid w:val="007150CB"/>
    <w:rsid w:val="0072712A"/>
    <w:rsid w:val="007330BD"/>
    <w:rsid w:val="00736FC2"/>
    <w:rsid w:val="007433ED"/>
    <w:rsid w:val="00746367"/>
    <w:rsid w:val="00747405"/>
    <w:rsid w:val="00747653"/>
    <w:rsid w:val="0075412F"/>
    <w:rsid w:val="00775D1A"/>
    <w:rsid w:val="0078397B"/>
    <w:rsid w:val="00787108"/>
    <w:rsid w:val="007874C4"/>
    <w:rsid w:val="007910F2"/>
    <w:rsid w:val="00793E93"/>
    <w:rsid w:val="00796894"/>
    <w:rsid w:val="00796C32"/>
    <w:rsid w:val="007B5BC1"/>
    <w:rsid w:val="007C0BA9"/>
    <w:rsid w:val="007D3D41"/>
    <w:rsid w:val="007F5845"/>
    <w:rsid w:val="00807831"/>
    <w:rsid w:val="00827AFD"/>
    <w:rsid w:val="00827FF9"/>
    <w:rsid w:val="00843260"/>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7C28"/>
    <w:rsid w:val="00AE1F32"/>
    <w:rsid w:val="00AE4F9A"/>
    <w:rsid w:val="00B04635"/>
    <w:rsid w:val="00B3268E"/>
    <w:rsid w:val="00B34BC0"/>
    <w:rsid w:val="00B41013"/>
    <w:rsid w:val="00B722FF"/>
    <w:rsid w:val="00B744E2"/>
    <w:rsid w:val="00B81454"/>
    <w:rsid w:val="00BA6270"/>
    <w:rsid w:val="00BA63E2"/>
    <w:rsid w:val="00BB023D"/>
    <w:rsid w:val="00BD4789"/>
    <w:rsid w:val="00C10FFF"/>
    <w:rsid w:val="00C24C25"/>
    <w:rsid w:val="00C34684"/>
    <w:rsid w:val="00C46B21"/>
    <w:rsid w:val="00C61E60"/>
    <w:rsid w:val="00C818FC"/>
    <w:rsid w:val="00C873AD"/>
    <w:rsid w:val="00C936A4"/>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12B40"/>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42D40"/>
    <w:rsid w:val="00F5148A"/>
    <w:rsid w:val="00F52B40"/>
    <w:rsid w:val="00F53E65"/>
    <w:rsid w:val="00F57EB4"/>
    <w:rsid w:val="00F81196"/>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1513</Words>
  <Characters>8323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8</cp:revision>
  <cp:lastPrinted>2025-06-26T20:44:00Z</cp:lastPrinted>
  <dcterms:created xsi:type="dcterms:W3CDTF">2025-06-17T21:37:00Z</dcterms:created>
  <dcterms:modified xsi:type="dcterms:W3CDTF">2025-06-26T20:47:00Z</dcterms:modified>
</cp:coreProperties>
</file>